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0C" w:rsidRDefault="001B41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-277225</wp:posOffset>
                </wp:positionH>
                <wp:positionV relativeFrom="paragraph">
                  <wp:posOffset>1201379</wp:posOffset>
                </wp:positionV>
                <wp:extent cx="6368375" cy="1491575"/>
                <wp:effectExtent l="0" t="0" r="139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375" cy="1491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0C" w:rsidRPr="001B410C" w:rsidRDefault="001B410C" w:rsidP="001B41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41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 pédagogique</w:t>
                            </w:r>
                          </w:p>
                          <w:p w:rsidR="001B410C" w:rsidRPr="001B410C" w:rsidRDefault="001B410C" w:rsidP="001B410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 document est destiné à aider le particulier employeur à identifier les différentes démarches à réaliser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en amont, et lors de l’embauche de son salarié. Il comprend un premier tableau relatif à l’embauche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d’un salarié, et un second tableau relatif à l’embauche d’un assistant maternel. Il est rappelé que le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recours au contrat de travail écrit est obligatoire pour les assistants maternels et les autres salariés du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particulier employeur. Le recours au contrat travail oral doit être limité aux cas visés à l’article L1271-5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410C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du code du travail.</w:t>
                            </w:r>
                          </w:p>
                          <w:p w:rsidR="001B410C" w:rsidRPr="001B410C" w:rsidRDefault="001B410C" w:rsidP="001B410C">
                            <w:pPr>
                              <w:rPr>
                                <w:rFonts w:ascii="Arial" w:hAnsi="Arial" w:cs="Arial"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41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document présente une valeur indicative et non conventionnelle.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1.85pt;margin-top:94.6pt;width:501.45pt;height:1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B410C" w:rsidRPr="001B410C" w:rsidRDefault="001B410C" w:rsidP="001B410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1B410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 pédagogique</w:t>
                      </w:r>
                    </w:p>
                    <w:p w:rsidR="001B410C" w:rsidRPr="001B410C" w:rsidRDefault="001B410C" w:rsidP="001B410C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 document est destiné à aider le particulier employeur à identifier les différentes démarches à réaliser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en amont, et lors de l’embauche de son salarié. Il comprend un premier tableau relatif à l’embauche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d’un salarié, et un second tableau relatif à l’embauche d’un assistant maternel. Il est rappelé que le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recours au contrat de travail écrit est obligatoire pour les assistants maternels et les autres salariés du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particulier employeur. Le recours au contrat travail oral doit être limité aux cas visés à l’article L1271-5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B410C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du code du travail.</w:t>
                      </w:r>
                    </w:p>
                    <w:p w:rsidR="001B410C" w:rsidRPr="001B410C" w:rsidRDefault="001B410C" w:rsidP="001B410C">
                      <w:pPr>
                        <w:rPr>
                          <w:rFonts w:ascii="Arial" w:hAnsi="Arial" w:cs="Arial"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1B410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document présente une valeur indicative et non conventionnelle.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79456</wp:posOffset>
                </wp:positionV>
                <wp:extent cx="5738252" cy="693906"/>
                <wp:effectExtent l="0" t="0" r="15240" b="114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252" cy="6939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0C" w:rsidRPr="001B410C" w:rsidRDefault="001B410C" w:rsidP="001B410C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DOCUMENT PÉDAGOGIQUE RELATIF AUX FORMALITÉS D’EMBAUCHE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400.65pt;margin-top:6.25pt;width:451.85pt;height:5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" fillcolor="white [3201]" strokecolor="#ed7d31 [3205]" strokeweight="1pt">
                <v:stroke joinstyle="miter"/>
                <v:textbox>
                  <w:txbxContent>
                    <w:p w:rsidR="001B410C" w:rsidRPr="001B410C" w:rsidRDefault="001B410C" w:rsidP="001B410C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DOCUMENT PÉDAGOGIQUE RELATIF AUX FORMALITÉS D’EMBAUCHE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Pr="001B410C" w:rsidRDefault="001B410C" w:rsidP="001B410C"/>
    <w:p w:rsidR="001B410C" w:rsidRDefault="001B410C" w:rsidP="001B410C"/>
    <w:p w:rsidR="005B0AB9" w:rsidRPr="005B0AB9" w:rsidRDefault="00861548" w:rsidP="008615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1548">
        <w:rPr>
          <w:rFonts w:ascii="Arial" w:hAnsi="Arial" w:cs="Arial"/>
          <w:b/>
          <w:bCs/>
          <w:sz w:val="20"/>
          <w:szCs w:val="20"/>
          <w:u w:val="single"/>
        </w:rPr>
        <w:t>I. L’embauche d’un salarié (hors assistant maternel)</w:t>
      </w:r>
    </w:p>
    <w:p w:rsidR="00EA513F" w:rsidRDefault="00EA513F" w:rsidP="00EA513F">
      <w:pPr>
        <w:pStyle w:val="Paragraphedeliste"/>
        <w:ind w:left="108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10C" w:rsidRDefault="001B410C" w:rsidP="001B410C">
      <w:pPr>
        <w:pStyle w:val="Paragraphedeliste"/>
        <w:ind w:left="108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Grilledutableau"/>
        <w:tblW w:w="10804" w:type="dxa"/>
        <w:tblInd w:w="-856" w:type="dxa"/>
        <w:tblLook w:val="04A0" w:firstRow="1" w:lastRow="0" w:firstColumn="1" w:lastColumn="0" w:noHBand="0" w:noVBand="1"/>
      </w:tblPr>
      <w:tblGrid>
        <w:gridCol w:w="4611"/>
        <w:gridCol w:w="3457"/>
        <w:gridCol w:w="1440"/>
        <w:gridCol w:w="1296"/>
      </w:tblGrid>
      <w:tr w:rsidR="001B410C" w:rsidTr="007970AF">
        <w:trPr>
          <w:trHeight w:val="1010"/>
        </w:trPr>
        <w:tc>
          <w:tcPr>
            <w:tcW w:w="8068" w:type="dxa"/>
            <w:gridSpan w:val="2"/>
            <w:shd w:val="clear" w:color="auto" w:fill="B4C6E7" w:themeFill="accent5" w:themeFillTint="66"/>
          </w:tcPr>
          <w:p w:rsidR="001B410C" w:rsidRPr="001B410C" w:rsidRDefault="001B410C" w:rsidP="00EA51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Formalités</w:t>
            </w:r>
          </w:p>
        </w:tc>
        <w:tc>
          <w:tcPr>
            <w:tcW w:w="1440" w:type="dxa"/>
            <w:shd w:val="clear" w:color="auto" w:fill="B4C6E7" w:themeFill="accent5" w:themeFillTint="66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833">
              <w:rPr>
                <w:rFonts w:ascii="Arial" w:hAnsi="Arial" w:cs="Arial"/>
                <w:b/>
                <w:bCs/>
                <w:sz w:val="20"/>
                <w:szCs w:val="20"/>
              </w:rPr>
              <w:t>Contrat écrit</w:t>
            </w:r>
          </w:p>
        </w:tc>
        <w:tc>
          <w:tcPr>
            <w:tcW w:w="1296" w:type="dxa"/>
            <w:shd w:val="clear" w:color="auto" w:fill="B4C6E7" w:themeFill="accent5" w:themeFillTint="66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10833">
              <w:rPr>
                <w:rFonts w:ascii="Arial" w:hAnsi="Arial" w:cs="Arial"/>
                <w:b/>
                <w:bCs/>
                <w:sz w:val="20"/>
                <w:szCs w:val="20"/>
              </w:rPr>
              <w:t>Contrat oral dans les cas prévus par la loi</w:t>
            </w:r>
            <w:r w:rsidRPr="0031083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1</w:t>
            </w:r>
          </w:p>
        </w:tc>
      </w:tr>
      <w:tr w:rsidR="001B410C" w:rsidTr="00EA513F">
        <w:trPr>
          <w:trHeight w:val="428"/>
        </w:trPr>
        <w:tc>
          <w:tcPr>
            <w:tcW w:w="4611" w:type="dxa"/>
            <w:vMerge w:val="restart"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Identifier les besoins</w:t>
            </w: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Besoin ponctuel ou régulier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620"/>
        </w:trPr>
        <w:tc>
          <w:tcPr>
            <w:tcW w:w="4611" w:type="dxa"/>
            <w:vMerge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Rythmes(s), jour(s), horaire(s) de travail sur la semaine et l’année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460"/>
        </w:trPr>
        <w:tc>
          <w:tcPr>
            <w:tcW w:w="4611" w:type="dxa"/>
            <w:vMerge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Jours fériés travaillés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451"/>
        </w:trPr>
        <w:tc>
          <w:tcPr>
            <w:tcW w:w="4611" w:type="dxa"/>
            <w:vMerge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Dimanches travaillés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444"/>
        </w:trPr>
        <w:tc>
          <w:tcPr>
            <w:tcW w:w="4611" w:type="dxa"/>
            <w:vMerge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Absences du particulier employeur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1020"/>
        </w:trPr>
        <w:tc>
          <w:tcPr>
            <w:tcW w:w="4611" w:type="dxa"/>
            <w:vMerge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Modalités spécifiques d’organisation du travail (besoins spécifiques, mise à disposition d’un logement etc.)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1B410C" w:rsidTr="00EA513F">
        <w:trPr>
          <w:trHeight w:val="851"/>
        </w:trPr>
        <w:tc>
          <w:tcPr>
            <w:tcW w:w="4611" w:type="dxa"/>
            <w:shd w:val="clear" w:color="auto" w:fill="8EAADB" w:themeFill="accent5" w:themeFillTint="99"/>
          </w:tcPr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Contacter les organismes sociaux en</w:t>
            </w:r>
            <w:r w:rsidR="00EA513F" w:rsidRPr="00310833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 w:rsidRPr="00310833">
              <w:rPr>
                <w:rFonts w:ascii="Arial" w:hAnsi="Arial" w:cs="Arial"/>
                <w:bCs/>
                <w:sz w:val="18"/>
                <w:szCs w:val="18"/>
              </w:rPr>
              <w:t xml:space="preserve">mont </w:t>
            </w:r>
            <w:r w:rsidR="00EA513F" w:rsidRPr="00310833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310833">
              <w:rPr>
                <w:rFonts w:ascii="Arial" w:hAnsi="Arial" w:cs="Arial"/>
                <w:bCs/>
                <w:sz w:val="18"/>
                <w:szCs w:val="18"/>
              </w:rPr>
              <w:t>l’embauche pour bénéficier</w:t>
            </w:r>
            <w:r w:rsidR="00EA513F" w:rsidRPr="00310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0833">
              <w:rPr>
                <w:rFonts w:ascii="Arial" w:hAnsi="Arial" w:cs="Arial"/>
                <w:bCs/>
                <w:sz w:val="18"/>
                <w:szCs w:val="18"/>
              </w:rPr>
              <w:t>d’aides à l’emploi à domicile, sous réserve d’en remplir les conditions</w:t>
            </w:r>
          </w:p>
          <w:p w:rsidR="001B410C" w:rsidRPr="00310833" w:rsidRDefault="001B410C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57" w:type="dxa"/>
            <w:shd w:val="clear" w:color="auto" w:fill="8EAADB" w:themeFill="accent5" w:themeFillTint="99"/>
          </w:tcPr>
          <w:p w:rsidR="00EA513F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Selon la situation du particulier employeur</w:t>
            </w:r>
          </w:p>
        </w:tc>
        <w:tc>
          <w:tcPr>
            <w:tcW w:w="1440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296" w:type="dxa"/>
            <w:shd w:val="clear" w:color="auto" w:fill="8EAADB" w:themeFill="accent5" w:themeFillTint="99"/>
          </w:tcPr>
          <w:p w:rsidR="001B410C" w:rsidRPr="00310833" w:rsidRDefault="00EA513F" w:rsidP="00EA513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0833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</w:tbl>
    <w:p w:rsidR="001B410C" w:rsidRPr="001B410C" w:rsidRDefault="001B410C" w:rsidP="001B410C">
      <w:pPr>
        <w:ind w:left="360"/>
        <w:rPr>
          <w:rFonts w:ascii="Arial" w:hAnsi="Arial" w:cs="Arial"/>
          <w:bCs/>
          <w:sz w:val="20"/>
          <w:szCs w:val="20"/>
        </w:rPr>
      </w:pPr>
    </w:p>
    <w:p w:rsidR="003625AF" w:rsidRDefault="003625AF" w:rsidP="001B410C"/>
    <w:p w:rsidR="00EA513F" w:rsidRDefault="00EA513F" w:rsidP="001B410C"/>
    <w:p w:rsidR="00EA513F" w:rsidRDefault="00EA513F" w:rsidP="00EA513F">
      <w:pPr>
        <w:rPr>
          <w:sz w:val="18"/>
          <w:szCs w:val="18"/>
        </w:rPr>
      </w:pPr>
      <w:r w:rsidRPr="00EA513F">
        <w:rPr>
          <w:b/>
          <w:color w:val="FF0000"/>
          <w:sz w:val="18"/>
          <w:szCs w:val="18"/>
          <w:vertAlign w:val="superscript"/>
        </w:rPr>
        <w:t>1</w:t>
      </w:r>
      <w:r w:rsidRPr="00EA513F">
        <w:rPr>
          <w:sz w:val="18"/>
          <w:szCs w:val="18"/>
        </w:rPr>
        <w:t xml:space="preserve"> A la date de rédaction du document, l’article L. 1271-5 du code du travail autorise, pour l'employeur et le salarié qui utilisent le chèque emploi-service universel, le recours au contrat oral pour les emplois dont la durée de travail n'excède</w:t>
      </w:r>
      <w:r>
        <w:rPr>
          <w:sz w:val="18"/>
          <w:szCs w:val="18"/>
        </w:rPr>
        <w:t xml:space="preserve"> </w:t>
      </w:r>
      <w:r w:rsidRPr="00EA513F">
        <w:rPr>
          <w:sz w:val="18"/>
          <w:szCs w:val="18"/>
        </w:rPr>
        <w:t>pas huit heures par semaine ou ne dépasse pas quatre semaines consécutives dans l'année.</w:t>
      </w:r>
    </w:p>
    <w:p w:rsidR="00EA513F" w:rsidRDefault="00EA513F" w:rsidP="00EA513F">
      <w:pPr>
        <w:rPr>
          <w:sz w:val="18"/>
          <w:szCs w:val="18"/>
        </w:rPr>
      </w:pPr>
    </w:p>
    <w:tbl>
      <w:tblPr>
        <w:tblStyle w:val="Grilledutableau"/>
        <w:tblW w:w="9666" w:type="dxa"/>
        <w:tblInd w:w="-882" w:type="dxa"/>
        <w:tblLook w:val="04A0" w:firstRow="1" w:lastRow="0" w:firstColumn="1" w:lastColumn="0" w:noHBand="0" w:noVBand="1"/>
      </w:tblPr>
      <w:tblGrid>
        <w:gridCol w:w="4261"/>
        <w:gridCol w:w="2712"/>
        <w:gridCol w:w="1275"/>
        <w:gridCol w:w="1418"/>
      </w:tblGrid>
      <w:tr w:rsidR="005B0AB9" w:rsidTr="005B0AB9">
        <w:trPr>
          <w:trHeight w:val="853"/>
        </w:trPr>
        <w:tc>
          <w:tcPr>
            <w:tcW w:w="4261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S'immatriculer auprès des organismes sociaux et enregistrer le salarié en lui demandant les informations nécessaires à cet effet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CESU / PAJEMPLOI / URSSAF</w:t>
            </w: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MSA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274"/>
        </w:trPr>
        <w:tc>
          <w:tcPr>
            <w:tcW w:w="4261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Collecter les informations nécessaires à l'établissement du contrat de travail et/ou à la déclaration du salarié</w:t>
            </w: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auprès de l'URSSAF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Demander au salarié ses coordonnées, et son numéro de</w:t>
            </w: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sécurité sociale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419"/>
        </w:trPr>
        <w:tc>
          <w:tcPr>
            <w:tcW w:w="4261" w:type="dxa"/>
            <w:vMerge w:val="restart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Vérifier l'identité du salarié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Demander au futur salarié de présenter sa pièce d'identité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1747"/>
        </w:trPr>
        <w:tc>
          <w:tcPr>
            <w:tcW w:w="4261" w:type="dxa"/>
            <w:vMerge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Si le futur salarié est de nationalité étrangère (hors ressortissant de l’Union européenne) : vérifier, par le biais d’une demande écrite adressée à la Préfecture au moins 2 jours ouvrables avant la prise de poste, la validité du titre de séjour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674"/>
        </w:trPr>
        <w:tc>
          <w:tcPr>
            <w:tcW w:w="4261" w:type="dxa"/>
            <w:vMerge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Vérifier que le futur salarié est en</w:t>
            </w:r>
          </w:p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âge de travailler, et le cas échéant, recueillir l'autorisation du représentant légal (sauf pour les mineurs émancipés)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274"/>
        </w:trPr>
        <w:tc>
          <w:tcPr>
            <w:tcW w:w="4261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En cas d'usage d'un véhicule du salarié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5B0AB9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Vérifier le permis de conduire du</w:t>
            </w:r>
            <w:r w:rsidR="00310833" w:rsidRPr="00310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0833">
              <w:rPr>
                <w:rFonts w:ascii="Arial" w:hAnsi="Arial" w:cs="Arial"/>
                <w:sz w:val="18"/>
                <w:szCs w:val="18"/>
              </w:rPr>
              <w:t>salarié, l’attestation d’assurance du</w:t>
            </w:r>
            <w:r w:rsidR="00310833" w:rsidRPr="00310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0833">
              <w:rPr>
                <w:rFonts w:ascii="Arial" w:hAnsi="Arial" w:cs="Arial"/>
                <w:sz w:val="18"/>
                <w:szCs w:val="18"/>
              </w:rPr>
              <w:t>véhicule en cours de validité et la</w:t>
            </w:r>
            <w:r w:rsidR="00310833" w:rsidRPr="00310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0833">
              <w:rPr>
                <w:rFonts w:ascii="Arial" w:hAnsi="Arial" w:cs="Arial"/>
                <w:sz w:val="18"/>
                <w:szCs w:val="18"/>
              </w:rPr>
              <w:t>carte grise.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310833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B0AB9" w:rsidTr="005B0AB9">
        <w:trPr>
          <w:trHeight w:val="288"/>
        </w:trPr>
        <w:tc>
          <w:tcPr>
            <w:tcW w:w="4261" w:type="dxa"/>
            <w:shd w:val="clear" w:color="auto" w:fill="8EAADB" w:themeFill="accent5" w:themeFillTint="99"/>
          </w:tcPr>
          <w:p w:rsidR="00310833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En cas d’usage du véhicule du</w:t>
            </w:r>
          </w:p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particulier employeur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Vérifier le permis de conduire du salarié. Informer au préalable sa compagnie d’assurance et mettre à la disposition du salarié le permis de conduire et la carte grise du véhicule.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5B0AB9" w:rsidRDefault="00310833" w:rsidP="00310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310833" w:rsidTr="00E65206">
        <w:trPr>
          <w:trHeight w:val="274"/>
        </w:trPr>
        <w:tc>
          <w:tcPr>
            <w:tcW w:w="4261" w:type="dxa"/>
            <w:shd w:val="clear" w:color="auto" w:fill="8EAADB" w:themeFill="accent5" w:themeFillTint="99"/>
          </w:tcPr>
          <w:p w:rsidR="00310833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Remettre au futur salarié une lettre</w:t>
            </w:r>
          </w:p>
          <w:p w:rsidR="00310833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d'engagement</w:t>
            </w:r>
          </w:p>
        </w:tc>
        <w:tc>
          <w:tcPr>
            <w:tcW w:w="2712" w:type="dxa"/>
            <w:shd w:val="clear" w:color="auto" w:fill="A6A6A6" w:themeFill="background1" w:themeFillShade="A6"/>
          </w:tcPr>
          <w:p w:rsidR="00310833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Néant</w:t>
            </w:r>
          </w:p>
        </w:tc>
        <w:tc>
          <w:tcPr>
            <w:tcW w:w="2693" w:type="dxa"/>
            <w:gridSpan w:val="2"/>
            <w:shd w:val="clear" w:color="auto" w:fill="8EAADB" w:themeFill="accent5" w:themeFillTint="99"/>
          </w:tcPr>
          <w:p w:rsidR="00310833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Facultatif</w:t>
            </w:r>
          </w:p>
        </w:tc>
      </w:tr>
      <w:tr w:rsidR="005B0AB9" w:rsidTr="00310833">
        <w:trPr>
          <w:trHeight w:val="274"/>
        </w:trPr>
        <w:tc>
          <w:tcPr>
            <w:tcW w:w="4261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Rédaction et remise au salarié d'un contrat de travail écrit</w:t>
            </w:r>
          </w:p>
        </w:tc>
        <w:tc>
          <w:tcPr>
            <w:tcW w:w="2712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Au plus tard le jour de l’embauche, ou au terme de la période d’essai, le cas échéant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5B0AB9" w:rsidRPr="00310833" w:rsidRDefault="00310833" w:rsidP="003108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83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5B0AB9" w:rsidRDefault="005B0AB9" w:rsidP="003108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61548" w:rsidRDefault="00861548" w:rsidP="00310833">
      <w:pPr>
        <w:jc w:val="center"/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EA513F" w:rsidRDefault="00EA513F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rPr>
          <w:sz w:val="18"/>
          <w:szCs w:val="18"/>
        </w:rPr>
      </w:pPr>
    </w:p>
    <w:p w:rsidR="00861548" w:rsidRDefault="00861548" w:rsidP="0086154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61548">
        <w:rPr>
          <w:rFonts w:ascii="Arial" w:hAnsi="Arial" w:cs="Arial"/>
          <w:b/>
          <w:bCs/>
          <w:sz w:val="20"/>
          <w:szCs w:val="20"/>
          <w:u w:val="single"/>
        </w:rPr>
        <w:lastRenderedPageBreak/>
        <w:t>II. L’embauche d’un assistant maternel</w:t>
      </w:r>
    </w:p>
    <w:p w:rsidR="00861548" w:rsidRDefault="00861548" w:rsidP="00861548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61548" w:rsidTr="007970AF">
        <w:tc>
          <w:tcPr>
            <w:tcW w:w="9351" w:type="dxa"/>
            <w:gridSpan w:val="2"/>
            <w:shd w:val="clear" w:color="auto" w:fill="B4C6E7" w:themeFill="accent5" w:themeFillTint="66"/>
          </w:tcPr>
          <w:p w:rsidR="00861548" w:rsidRPr="002D06D1" w:rsidRDefault="00861548" w:rsidP="002D0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D1">
              <w:rPr>
                <w:rFonts w:ascii="Arial" w:hAnsi="Arial" w:cs="Arial"/>
                <w:b/>
                <w:sz w:val="20"/>
                <w:szCs w:val="20"/>
              </w:rPr>
              <w:t>Formalités</w:t>
            </w:r>
          </w:p>
        </w:tc>
      </w:tr>
      <w:tr w:rsidR="00740542" w:rsidTr="007970AF">
        <w:trPr>
          <w:trHeight w:val="327"/>
        </w:trPr>
        <w:tc>
          <w:tcPr>
            <w:tcW w:w="4531" w:type="dxa"/>
            <w:vMerge w:val="restart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 les besoins de l’enfant accueilli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Besoin ponctuel ou régulier</w:t>
            </w: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542" w:rsidTr="007970AF">
        <w:trPr>
          <w:trHeight w:val="490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Rythme(s), jour(s), horaire(s) de travail sur la semaine et l’année</w:t>
            </w: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542" w:rsidTr="007970AF">
        <w:trPr>
          <w:trHeight w:val="172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des semaines non travaillées</w:t>
            </w: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542" w:rsidTr="007970AF">
        <w:trPr>
          <w:trHeight w:val="307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Jours fériés travaillés</w:t>
            </w: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542" w:rsidTr="007970AF">
        <w:trPr>
          <w:trHeight w:val="143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Dimanches travaillés</w:t>
            </w:r>
          </w:p>
        </w:tc>
      </w:tr>
      <w:tr w:rsidR="00861548" w:rsidTr="007970AF">
        <w:tc>
          <w:tcPr>
            <w:tcW w:w="4531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Contacter les organisme sociaux en amont de l’embauche pour bénéficier d’aides à l’emploi à domicile, sous réserve d’en remplir les conditions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Selon la situation du particulier employeur</w:t>
            </w:r>
          </w:p>
        </w:tc>
      </w:tr>
      <w:tr w:rsidR="00861548" w:rsidTr="007970AF">
        <w:tc>
          <w:tcPr>
            <w:tcW w:w="4531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S’immatriculer après des organismes sociaux et enregistre l’assistant maternel en lui demandant les informations nécessaires à cet effet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PAJEMPLOI</w:t>
            </w:r>
          </w:p>
        </w:tc>
      </w:tr>
      <w:tr w:rsidR="00861548" w:rsidTr="007970AF">
        <w:tc>
          <w:tcPr>
            <w:tcW w:w="4531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Collecter les informations nécessaires à l’établissement du contrat de travail et/ou ) ma déclaration du salarié auprès de l’URSSAF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861548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Demander à l’assistant maternel ses coordonnées et son numéro de sécurité sociale</w:t>
            </w:r>
          </w:p>
        </w:tc>
      </w:tr>
      <w:tr w:rsidR="00740542" w:rsidTr="007970AF">
        <w:trPr>
          <w:trHeight w:val="459"/>
        </w:trPr>
        <w:tc>
          <w:tcPr>
            <w:tcW w:w="4531" w:type="dxa"/>
            <w:vMerge w:val="restart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Vérifier l’identité de l’assistant maternel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Demander à l’assistant maternel de présenter sa pièce d’identité</w:t>
            </w:r>
          </w:p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542" w:rsidTr="007970AF">
        <w:trPr>
          <w:trHeight w:val="225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740542" w:rsidRDefault="00740542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l’assistant maternel est de nationalité étrangère (hors ressortissant de l’Union européenne) : vérifier, par le biais d’une demande écrite adressée à la Préfecture au moins 2 jours ouvrables avant la prise de poste, la validité du titre de séjour</w:t>
            </w:r>
          </w:p>
        </w:tc>
      </w:tr>
      <w:tr w:rsidR="002D06D1" w:rsidTr="007970AF">
        <w:trPr>
          <w:trHeight w:val="745"/>
        </w:trPr>
        <w:tc>
          <w:tcPr>
            <w:tcW w:w="4531" w:type="dxa"/>
            <w:vMerge w:val="restart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Vérifier que l’assistant maternel remplit les conditions pour exercer ses fonctions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S’assurer que l’assistant maternel est titulaire d’un agrément en cours de validité, et recueillir les références de celui-ci</w:t>
            </w:r>
          </w:p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D1" w:rsidTr="007970AF">
        <w:trPr>
          <w:trHeight w:val="174"/>
        </w:trPr>
        <w:tc>
          <w:tcPr>
            <w:tcW w:w="4531" w:type="dxa"/>
            <w:vMerge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Vérifier que l’assurance responsabilité civile professionnelle de l’assistant maternel est en cours de validité</w:t>
            </w:r>
          </w:p>
        </w:tc>
      </w:tr>
      <w:tr w:rsidR="00861548" w:rsidTr="007970AF">
        <w:tc>
          <w:tcPr>
            <w:tcW w:w="4531" w:type="dxa"/>
            <w:shd w:val="clear" w:color="auto" w:fill="8EAADB" w:themeFill="accent5" w:themeFillTint="99"/>
          </w:tcPr>
          <w:p w:rsidR="00861548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 d’usage d’un véhicule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861548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Vérifier les documents originaux suivants :</w:t>
            </w:r>
          </w:p>
          <w:p w:rsidR="002D06D1" w:rsidRDefault="002D06D1" w:rsidP="007970AF">
            <w:pPr>
              <w:pStyle w:val="Paragraphedeliste"/>
              <w:numPr>
                <w:ilvl w:val="0"/>
                <w:numId w:val="2"/>
              </w:num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permis de conduire de l’assistant maternel et/ou de la personne visée par le contrat de travail et autorisée par le particulier employeur à transporter l’enfant,</w:t>
            </w:r>
          </w:p>
          <w:p w:rsidR="002D06D1" w:rsidRDefault="002D06D1" w:rsidP="007970AF">
            <w:pPr>
              <w:pStyle w:val="Paragraphedeliste"/>
              <w:numPr>
                <w:ilvl w:val="0"/>
                <w:numId w:val="2"/>
              </w:num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L’attestation d’assurance automobile en cours de validité,</w:t>
            </w:r>
          </w:p>
          <w:p w:rsidR="002D06D1" w:rsidRPr="002D06D1" w:rsidRDefault="002D06D1" w:rsidP="007970AF">
            <w:pPr>
              <w:pStyle w:val="Paragraphedeliste"/>
              <w:numPr>
                <w:ilvl w:val="0"/>
                <w:numId w:val="2"/>
              </w:num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carte grise</w:t>
            </w:r>
          </w:p>
        </w:tc>
      </w:tr>
      <w:tr w:rsidR="00861548" w:rsidTr="007970AF">
        <w:tc>
          <w:tcPr>
            <w:tcW w:w="4531" w:type="dxa"/>
            <w:shd w:val="clear" w:color="auto" w:fill="8EAADB" w:themeFill="accent5" w:themeFillTint="99"/>
          </w:tcPr>
          <w:p w:rsidR="00861548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Remettre au futur salarié l’enga</w:t>
            </w:r>
            <w:r w:rsidR="007970AF">
              <w:rPr>
                <w:rFonts w:ascii="Arial" w:hAnsi="Arial" w:cs="Arial"/>
                <w:sz w:val="20"/>
                <w:szCs w:val="20"/>
              </w:rPr>
              <w:t>gement réciproque s’il y a lieu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8EAADB" w:themeFill="accent5" w:themeFillTint="99"/>
          </w:tcPr>
          <w:p w:rsidR="00861548" w:rsidRDefault="00861548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6D1" w:rsidTr="007970AF">
        <w:tc>
          <w:tcPr>
            <w:tcW w:w="4531" w:type="dxa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Rédaction et remise au salarié d’un contrat de travail écrit, en annexant les consignes et informations relatives à l’enfant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2D06D1" w:rsidRDefault="002D06D1" w:rsidP="007970AF">
            <w:pPr>
              <w:shd w:val="clear" w:color="auto" w:fill="8EAADB" w:themeFill="accent5" w:themeFillTin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 plus tard le premier jour d’accueil de l’enfant</w:t>
            </w:r>
          </w:p>
        </w:tc>
      </w:tr>
    </w:tbl>
    <w:p w:rsidR="00861548" w:rsidRPr="00861548" w:rsidRDefault="00861548" w:rsidP="007970AF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861548" w:rsidRPr="008615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FC" w:rsidRDefault="008D5CFC" w:rsidP="00EA513F">
      <w:pPr>
        <w:spacing w:after="0" w:line="240" w:lineRule="auto"/>
      </w:pPr>
      <w:r>
        <w:separator/>
      </w:r>
    </w:p>
  </w:endnote>
  <w:endnote w:type="continuationSeparator" w:id="0">
    <w:p w:rsidR="008D5CFC" w:rsidRDefault="008D5CFC" w:rsidP="00EA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659370"/>
      <w:docPartObj>
        <w:docPartGallery w:val="Page Numbers (Bottom of Page)"/>
        <w:docPartUnique/>
      </w:docPartObj>
    </w:sdtPr>
    <w:sdtEndPr/>
    <w:sdtContent>
      <w:p w:rsidR="00EA513F" w:rsidRDefault="00EA513F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" name="Organigramme : Dé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7CDA82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B/07Jt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A513F" w:rsidRDefault="00EA513F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970AF">
          <w:rPr>
            <w:noProof/>
          </w:rPr>
          <w:t>3</w:t>
        </w:r>
        <w:r>
          <w:fldChar w:fldCharType="end"/>
        </w:r>
      </w:p>
    </w:sdtContent>
  </w:sdt>
  <w:p w:rsidR="00EA513F" w:rsidRDefault="00EA51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FC" w:rsidRDefault="008D5CFC" w:rsidP="00EA513F">
      <w:pPr>
        <w:spacing w:after="0" w:line="240" w:lineRule="auto"/>
      </w:pPr>
      <w:r>
        <w:separator/>
      </w:r>
    </w:p>
  </w:footnote>
  <w:footnote w:type="continuationSeparator" w:id="0">
    <w:p w:rsidR="008D5CFC" w:rsidRDefault="008D5CFC" w:rsidP="00EA5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E57EE"/>
    <w:multiLevelType w:val="hybridMultilevel"/>
    <w:tmpl w:val="37005E08"/>
    <w:lvl w:ilvl="0" w:tplc="9676C7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64B84"/>
    <w:multiLevelType w:val="hybridMultilevel"/>
    <w:tmpl w:val="FE86E11E"/>
    <w:lvl w:ilvl="0" w:tplc="A2004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0C"/>
    <w:rsid w:val="00097ED5"/>
    <w:rsid w:val="00174F81"/>
    <w:rsid w:val="00190CC9"/>
    <w:rsid w:val="001B410C"/>
    <w:rsid w:val="002D06D1"/>
    <w:rsid w:val="00310833"/>
    <w:rsid w:val="003625AF"/>
    <w:rsid w:val="005B0AB9"/>
    <w:rsid w:val="00740542"/>
    <w:rsid w:val="007970AF"/>
    <w:rsid w:val="00861548"/>
    <w:rsid w:val="008D5CFC"/>
    <w:rsid w:val="00EA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AEDC"/>
  <w15:chartTrackingRefBased/>
  <w15:docId w15:val="{DF879CB7-7554-41F2-B5FE-2B33B68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41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13F"/>
  </w:style>
  <w:style w:type="paragraph" w:styleId="Pieddepage">
    <w:name w:val="footer"/>
    <w:basedOn w:val="Normal"/>
    <w:link w:val="PieddepageCar"/>
    <w:uiPriority w:val="99"/>
    <w:unhideWhenUsed/>
    <w:rsid w:val="00EA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6</cp:revision>
  <dcterms:created xsi:type="dcterms:W3CDTF">2021-11-30T13:54:00Z</dcterms:created>
  <dcterms:modified xsi:type="dcterms:W3CDTF">2021-12-01T10:27:00Z</dcterms:modified>
</cp:coreProperties>
</file>